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5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</w:t>
      </w:r>
      <w:r>
        <w:rPr>
          <w:color w:val="000000" w:themeColor="text1"/>
          <w:sz w:val="28"/>
          <w:szCs w:val="28"/>
          <w:highlight w:val="none"/>
        </w:rPr>
        <w:t xml:space="preserve">нии 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зменений</w:t>
      </w:r>
      <w:r>
        <w:rPr>
          <w:color w:val="000000" w:themeColor="text1"/>
          <w:sz w:val="28"/>
          <w:szCs w:val="28"/>
          <w:highlight w:val="none"/>
        </w:rPr>
        <w:t xml:space="preserve"> и дополнени</w:t>
      </w:r>
      <w:r>
        <w:rPr>
          <w:color w:val="000000" w:themeColor="text1"/>
          <w:sz w:val="28"/>
          <w:szCs w:val="28"/>
          <w:highlight w:val="none"/>
        </w:rPr>
        <w:t xml:space="preserve">й</w:t>
      </w:r>
      <w:r>
        <w:rPr>
          <w:color w:val="000000" w:themeColor="text1"/>
          <w:sz w:val="28"/>
          <w:szCs w:val="28"/>
          <w:highlight w:val="none"/>
        </w:rPr>
        <w:t xml:space="preserve"> в государственную программу Еврейской автономной области «Профилактика правонарушений и преступлений в Е</w:t>
      </w:r>
      <w:r>
        <w:rPr>
          <w:color w:val="000000" w:themeColor="text1"/>
          <w:sz w:val="28"/>
          <w:szCs w:val="28"/>
          <w:highlight w:val="none"/>
        </w:rPr>
        <w:t xml:space="preserve">врейской ав</w:t>
      </w:r>
      <w:r>
        <w:rPr>
          <w:color w:val="000000" w:themeColor="text1"/>
          <w:sz w:val="28"/>
          <w:szCs w:val="28"/>
          <w:highlight w:val="none"/>
        </w:rPr>
        <w:t xml:space="preserve">тономной области» на 2023 – 2028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16.06.2023 № 253-пп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9"/>
        <w:jc w:val="both"/>
        <w:tabs>
          <w:tab w:val="left" w:pos="5952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9"/>
        <w:tabs>
          <w:tab w:val="left" w:pos="924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ПОСТАНОВЛЯЕТ: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 </w:t>
      </w:r>
      <w:r>
        <w:rPr>
          <w:color w:val="000000" w:themeColor="text1"/>
          <w:sz w:val="28"/>
          <w:szCs w:val="28"/>
          <w:highlight w:val="none"/>
        </w:rPr>
        <w:t xml:space="preserve">Внести в государственную программу Еврейской автономной области «Профилактика правонарушений и преступлений в Еврейской автономной области» н</w:t>
      </w:r>
      <w:r>
        <w:rPr>
          <w:color w:val="000000" w:themeColor="text1"/>
          <w:sz w:val="28"/>
          <w:szCs w:val="28"/>
          <w:highlight w:val="none"/>
        </w:rPr>
        <w:t xml:space="preserve">а 2023 – 2028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16.06.2023 № 253-пп</w:t>
      </w:r>
      <w:r>
        <w:rPr>
          <w:color w:val="000000" w:themeColor="text1"/>
          <w:sz w:val="28"/>
          <w:szCs w:val="28"/>
          <w:highlight w:val="none"/>
        </w:rPr>
        <w:t xml:space="preserve"> «О государственной программе Еврейской автономной области «Профилактика правонарушений и преступлений в Еврейской автономной области» на 2023 – 202</w:t>
      </w:r>
      <w:r>
        <w:rPr>
          <w:color w:val="000000" w:themeColor="text1"/>
          <w:sz w:val="28"/>
          <w:szCs w:val="28"/>
          <w:highlight w:val="none"/>
        </w:rPr>
        <w:t xml:space="preserve">8 годы»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следующие изменения</w:t>
      </w:r>
      <w:r>
        <w:rPr>
          <w:color w:val="000000" w:themeColor="text1"/>
          <w:sz w:val="28"/>
          <w:szCs w:val="28"/>
          <w:highlight w:val="none"/>
        </w:rPr>
        <w:t xml:space="preserve"> и дополнени</w:t>
      </w:r>
      <w:r>
        <w:rPr>
          <w:color w:val="000000" w:themeColor="text1"/>
          <w:sz w:val="28"/>
          <w:szCs w:val="28"/>
          <w:highlight w:val="none"/>
        </w:rPr>
        <w:t xml:space="preserve">я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none"/>
        </w:rPr>
        <w:t xml:space="preserve">.1. 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троку «Ресурсное обесп</w:t>
      </w:r>
      <w:r>
        <w:rPr>
          <w:color w:val="000000" w:themeColor="text1"/>
          <w:sz w:val="28"/>
          <w:szCs w:val="28"/>
          <w:highlight w:val="none"/>
        </w:rPr>
        <w:t xml:space="preserve">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  <w:br/>
        <w:t xml:space="preserve">в том числе по годам»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раздел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 1 «Паспорт государственной программы Еврейской автономной области «Профилактика правонарушений и преступлений в Еврейской автономной области» на 2023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202</w:t>
      </w:r>
      <w:r>
        <w:rPr>
          <w:color w:val="000000" w:themeColor="text1"/>
          <w:sz w:val="28"/>
          <w:szCs w:val="28"/>
          <w:highlight w:val="none"/>
        </w:rPr>
        <w:t xml:space="preserve">8 годы» 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9356" w:type="dxa"/>
        <w:tblInd w:w="10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552" w:type="dxa"/>
            <w:vAlign w:val="top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</w:t>
            </w:r>
            <w:r>
              <w:rPr>
                <w:color w:val="000000" w:themeColor="text1"/>
                <w:highlight w:val="none"/>
              </w:rPr>
              <w:t xml:space="preserve">Ресурсное обе</w:t>
            </w:r>
            <w:r>
              <w:rPr>
                <w:color w:val="000000" w:themeColor="text1"/>
                <w:highlight w:val="none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Всего по государственной программе – 84050,94 тыс. рублей, в 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за счет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средств областного бюджета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66050,94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тыс. рублей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, в том числе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 1809,0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2024 год – 1809,0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2025 год – 1809,0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2026 год – 11432,94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2027 год – 6659,0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 – 42532,0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за счет средств федерального бюджета – 18000,0 тыс. рублей,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в 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 18000,0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hyperlink r:id="rId18" w:tooltip="consultantplus://offline/ref=F1656ED3992BA12C5EF77E78734BB5FF5B4550AF1D2BA200B39EB21C2613DC73F414A6061741001AB82958D7F7A7D9EF60886310BB9447569A1DB63Bn5F" w:history="1">
              <w:r>
                <w:rPr>
                  <w:bCs/>
                  <w:color w:val="000000" w:themeColor="text1"/>
                  <w:sz w:val="24"/>
                  <w:szCs w:val="24"/>
                  <w:highlight w:val="none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«Профилактика наркомании на территории Еврейской автономной области» на 2023 – 2028 годы.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10014,7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тыс. рублей, в том числе средства областного бюджета: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1435,7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2024 год – 1452,0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2025 год – 1452,0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2026 год – 1830,0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2027 год – 1605,0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 – 2240,0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hyperlink r:id="rId19" w:tooltip="consultantplus://offline/ref=F1656ED3992BA12C5EF77E78734BB5FF5B4550AF1D2BA200B39EB21C2613DC73F414A6061741001AB82A5EDBF7A7D9EF60886310BB9447569A1DB63Bn5F" w:history="1">
              <w:r>
                <w:rPr>
                  <w:bCs/>
                  <w:color w:val="000000" w:themeColor="text1"/>
                  <w:sz w:val="24"/>
                  <w:szCs w:val="24"/>
                  <w:highlight w:val="none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«Профилактика терроризма и экстремизма на территории Еврейской автономной области» на 2023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годы.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70127,94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тыс. рублей,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за счет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средств областного бюджета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52127,94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тыс. рублей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, в том числе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 8,0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2024 год – 8,0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2025 год – 8,0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2026 год – 8657,94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2027 год – 4104,0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 – 39342,0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за счет средств федерального бюджета – 18000,0 тыс. рублей,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в 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 18000,0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hyperlink r:id="rId20" w:tooltip="consultantplus://offline/ref=F1656ED3992BA12C5EF77E78734BB5FF5B4550AF1D2BA200B39EB21C2613DC73F414A6061741001AB82B5CDDF7A7D9EF60886310BB9447569A1DB63Bn5F" w:history="1">
              <w:r>
                <w:rPr>
                  <w:bCs/>
                  <w:color w:val="000000" w:themeColor="text1"/>
                  <w:sz w:val="24"/>
                  <w:szCs w:val="24"/>
                  <w:highlight w:val="none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«Обеспечение общественной безопасности и предупреждение правонарушений на территории Еврейской автономной области» на 2023 – 2028 годы.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3463,3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2023 год –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365,3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2024 год – 349,0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2025 год – 349,0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2026 год – 800,0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2027 год – 800,0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 – 800,0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hyperlink r:id="rId21" w:tooltip="consultantplus://offline/ref=F1656ED3992BA12C5EF77E78734BB5FF5B4550AF1D2BA200B39EB21C2613DC73F414A6061741001AB82B55DDF7A7D9EF60886310BB9447569A1DB63Bn5F" w:history="1">
              <w:r>
                <w:rPr>
                  <w:bCs/>
                  <w:color w:val="000000" w:themeColor="text1"/>
                  <w:sz w:val="24"/>
                  <w:szCs w:val="24"/>
                  <w:highlight w:val="none"/>
                </w:rPr>
                <w:t xml:space="preserve">подпрограмма</w:t>
              </w:r>
            </w:hyperlink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 «Противодействие коррупции» на 2023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2028 годы.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Общий 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бъем финансирования – 445,0 тыс. рублей, в том числе средства областного бюджета: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2023 год – 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 – 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 – 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 год – 145,0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 – 150,0 тыс. рублей;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both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 – 150,0 тыс. рублей.».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pStyle w:val="965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0" w:name="P530"/>
      <w:r>
        <w:rPr>
          <w:color w:val="000000" w:themeColor="text1"/>
          <w:highlight w:val="none"/>
        </w:rPr>
      </w:r>
      <w:bookmarkEnd w:id="0"/>
      <w:r>
        <w:rPr>
          <w:color w:val="000000" w:themeColor="text1"/>
          <w:sz w:val="28"/>
          <w:szCs w:val="28"/>
          <w:highlight w:val="none"/>
        </w:rPr>
        <w:t xml:space="preserve">1.2. В </w:t>
      </w:r>
      <w:r>
        <w:rPr>
          <w:color w:val="000000" w:themeColor="text1"/>
          <w:sz w:val="28"/>
          <w:szCs w:val="28"/>
          <w:highlight w:val="none"/>
        </w:rPr>
        <w:t xml:space="preserve">разде</w:t>
      </w:r>
      <w:r>
        <w:rPr>
          <w:color w:val="000000" w:themeColor="text1"/>
          <w:sz w:val="28"/>
          <w:szCs w:val="28"/>
          <w:highlight w:val="none"/>
        </w:rPr>
        <w:t xml:space="preserve">ле</w:t>
      </w:r>
      <w:r>
        <w:rPr>
          <w:color w:val="000000" w:themeColor="text1"/>
          <w:sz w:val="28"/>
          <w:szCs w:val="28"/>
          <w:highlight w:val="none"/>
        </w:rPr>
        <w:t xml:space="preserve"> 10 «Ресурс</w:t>
      </w:r>
      <w:r>
        <w:rPr>
          <w:color w:val="000000" w:themeColor="text1"/>
          <w:sz w:val="28"/>
          <w:szCs w:val="28"/>
          <w:highlight w:val="none"/>
        </w:rPr>
        <w:t xml:space="preserve">ное обеспечение реализации государственной программы»: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таблицу 3</w:t>
      </w:r>
      <w:r>
        <w:rPr>
          <w:color w:val="000000" w:themeColor="text1"/>
          <w:sz w:val="28"/>
          <w:szCs w:val="28"/>
          <w:highlight w:val="none"/>
        </w:rPr>
        <w:t xml:space="preserve"> «Ресурсное обеспечение реализации государственной программы за счет средств областного бюджета»</w:t>
      </w:r>
      <w:r>
        <w:rPr>
          <w:color w:val="000000" w:themeColor="text1"/>
          <w:sz w:val="28"/>
          <w:szCs w:val="28"/>
          <w:highlight w:val="none"/>
        </w:rPr>
        <w:t xml:space="preserve"> изложить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color w:val="000000" w:themeColor="text1"/>
          <w:sz w:val="28"/>
          <w:szCs w:val="28"/>
          <w:highlight w:val="none"/>
        </w:rPr>
        <w:t xml:space="preserve">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4"/>
        <w:jc w:val="right"/>
        <w:rPr>
          <w:rFonts w:ascii="Times New Roman" w:hAnsi="Times New Roman"/>
          <w:color w:val="000000" w:themeColor="text1"/>
          <w:sz w:val="28"/>
          <w:szCs w:val="28"/>
          <w:highlight w:val="none"/>
        </w:rPr>
        <w:outlineLvl w:val="2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Таблица 3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994"/>
        <w:jc w:val="both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99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Ресурсное обеспечение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99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за счет средств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992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областного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tabs>
          <w:tab w:val="left" w:pos="851" w:leader="none"/>
          <w:tab w:val="left" w:pos="993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2976"/>
        <w:gridCol w:w="2552"/>
        <w:gridCol w:w="709"/>
        <w:gridCol w:w="567"/>
        <w:gridCol w:w="850"/>
        <w:gridCol w:w="993"/>
        <w:gridCol w:w="850"/>
        <w:gridCol w:w="851"/>
        <w:gridCol w:w="850"/>
        <w:gridCol w:w="992"/>
        <w:gridCol w:w="859"/>
        <w:gridCol w:w="842"/>
      </w:tblGrid>
      <w:tr>
        <w:trPr>
          <w:cantSplit/>
        </w:trPr>
        <w:tc>
          <w:tcPr>
            <w:tcW w:w="9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/п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Наименование государственной программы, подпрограммы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gridSpan w:val="7"/>
            <w:tcW w:w="623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ГРБС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РзПр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ЦСР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2023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2024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2025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2026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</w:tbl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2976"/>
        <w:gridCol w:w="2551"/>
        <w:gridCol w:w="710"/>
        <w:gridCol w:w="567"/>
        <w:gridCol w:w="850"/>
        <w:gridCol w:w="993"/>
        <w:gridCol w:w="850"/>
        <w:gridCol w:w="851"/>
        <w:gridCol w:w="850"/>
        <w:gridCol w:w="992"/>
        <w:gridCol w:w="851"/>
        <w:gridCol w:w="850"/>
      </w:tblGrid>
      <w:tr>
        <w:trPr>
          <w:tblHeader/>
        </w:trPr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1080"/>
        </w:trPr>
        <w:tc>
          <w:tcPr>
            <w:tcW w:w="9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3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«Государственная программа «Профилактика правонарушений и преступлений в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66050,94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11432,94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6659,0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42532,0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419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3203,3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295,3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  <w:trHeight w:val="1142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Соисполнитель программы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478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Участники программы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образования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4480,0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185,0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145,0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3375,0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176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4565,0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1620,0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1325,0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601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43888,0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832,0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987,0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39122,0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630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сельского хозяйства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359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культуры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567,1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624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4437,94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4277,94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620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3228,0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2964,0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762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0031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1002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655,0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355,0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Подпрограмма 1 «Профилактика наркомании на территории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10014,7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1435,7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13"/>
            <w:tcW w:w="1480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outlineLvl w:val="2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Задача «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Обеспечение эффективной координации антинаркотической деятельности, организация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системы монитор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инга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профилактики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немедицинского потребления наркотиков, комплексной реабилитации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а также 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1168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1 «Совершенствование антинаркотической деятельности, организация мониторинга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905,0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квалификации представителей аппарата антинаркотической комиссии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социологического исследования по оценке распространения и употребления наркотиков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психоактивных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веще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ств ср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еди различных групп населения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665,0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172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2 «Профилактика и раннее выявление незаконного потребления наркотиков»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8393,1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1259,1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1192,0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1222,0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1585,0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1865,0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318"/>
        </w:trPr>
        <w:tc>
          <w:tcPr>
            <w:tcBorders>
              <w:bottom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образовательных организациях области, направленного на раннее выявление незаконного потребления наркотических средств и психотропных веществ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13130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культурно-массовых мероприятий, направленных на пропаганду здорового образа жизни и профилактику незаконного потребления наркотиков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217,1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методических материалов и наглядных пособий по профилактике наркомании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и алкоголизма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Изготовление и трансляция видеороликов социальной рекламы антинаркотического содержания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области)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негативного отношения к потреблению наркотиков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Изготовление печатной продукции, пропагандирующей здоровый образ жизни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области)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872"/>
        </w:trPr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мероприятий антинаркотической направленности, а также мероприятий духовно-нравственному и патриотическому воспитанию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461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  <w:trHeight w:val="485"/>
        </w:trPr>
        <w:tc>
          <w:tcPr>
            <w:tcW w:w="91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13120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иммунохроматографических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экспресс-тестов, используемых при профилактических медицинских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осмотрах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обучающихся в целях раннего выявления незаконного потребления наркотических средств и психотропных веществ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13130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5626,0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832,0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Основное мероприятие 3 «Сокращение количества преступлений и правонарушений, связанных с незаконным оборотом наркотиков»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1062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1.3.1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Организация уничтожения выявленных очагов произрастания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растений на сельскохозяйственных угодьях области механическим и химическим способами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сельского хозяйства правительства области, органы местного самоуправления муниципальных образований области (по согласованию)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13140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Подпрограмма 2 «Профилактика терроризма и экстремизма на территории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52127,94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8657,94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4104,0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39342,0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3"/>
            <w:tcW w:w="1480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Задача «Профилактика террористических угроз и проявлений экстремизма, укрепление антитеррористической защищенности объектов массового пребывания людей»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Основное мероприятие 1 «Комплексные меры по профилактике терроризма и экстремизма»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3654,0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2.1.1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совместно с местной религиозной организацией ортодоксального иудаизма «Биробиджанская еврейская религиозная община «Фрейд» Дня памяти жертв Холокоста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2.1.2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совместно с Средне-Амурским окружным казачьим обществом областного историко-спортивного праздника «Три поля русской славы»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2.1.3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Проведение «круглых столов», конференций, лекций по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2.1.4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цикла тематических мероприятий «Шаги к толерантности« для детей из семей, находящихся в социально опасном положении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Основное мероприятие 2 «Обеспечение антитеррористической защищенности объектов массового пребывания людей»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48473,94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7447,94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здравоохранения,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Детская больница» системами непрерывного видеонаблюдения потенциально опасных участков и критических элементов объекта (территории)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(г. Биробиджан,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ул. Чапаева, д. 10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ул. Пионерская, д. 36)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«Детская больница»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«Психиатрическая больница»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дополнительными системами наружного видеонаблюдения, установка ограждения территории учреждения по периметру с воротами, установка шлагбаума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правительства области,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«Психиатрическая больница»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ОГКУЗ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Противо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туберкулезный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ОГКУЗ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Противотуберку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лезный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диспансер»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«Биробиджанский медицинский колледж» системой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наблюдения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ограждением по периметру территории, установка на входные двери видеодомофона в здании общежития и административно-учебном корпусе,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дополнитель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ного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освещения на зданиях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«Биробиджанский медицинский колледж»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Инфек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ционная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больница» системой непрерывного видеонаблюдения потенциально опасных участков и критических элементов объекта (территории)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«Инфекционная больница»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ОГКУЗ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«Дом ребенка специализированный» системой оповещения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ОГКУЗ «Дом ребенка специализированный»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«Онкологи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диспансер»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ручным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системой оповещения и управления эвакуацией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«Онкологический диспансер»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Николаев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установка ограждения по периметру, автоматического шлагбаума, дополнительное освещение здания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Николаевская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«Смидович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внешним ограждением по периметру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здравоохран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Смидовичская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Валдгеймская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дополнительной системой видеонаблюдения, обустройство контрольно-пропускного пункта, установка шлагбаума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 области, ОГБУЗ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Валдгеймская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Ленинская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Ленинская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Теплоозерская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Теплоозерская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2.2.1.13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СМЭ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СМЭ»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861"/>
        </w:trPr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образования,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Центр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«МОСТ»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Центр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ОГАОУ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«Центр образования «Ступени»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ОГАОУ «Центр образования «Ступени»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скохозяйственный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«Сельскохозяйственный техникум»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и периметра территории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ОГАУДО ДЮЦ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Солнечный»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ОГАУ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 ДЮЦ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«Солнечный»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ОГОБУ СКШИ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с. Ленинское 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ОГОБУ СКШИ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  <w:t xml:space="preserve">с.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Ленинское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Политех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«Политехнический техникум»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«Технический колледж» ограждением по периметру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области, ОГПОБУ «Технический колледж»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«Технический колледж» системой оповещения и управления эвакуацией либо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области, ОГПОБУ «Технический колледж»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Техно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логический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дополнительным освещением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 области, ОГПОБУ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Техно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логический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Техноло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«Технологический техникум»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ОГАОУ  ДПО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РО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ОГАОУ ДПО «И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РО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2.2.2.12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Ш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кола-интернат» п.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Бира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образования области, ОГОБУ 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Ш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кола-интернат» п.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Бира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физической культуры и спорта,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176"/>
        </w:trPr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2.2.3.1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нащение стадиона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Дальсельмаш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ОГБУ ДО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СШ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арочным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Ш 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2.2.3.2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спортзала «Юность»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ограждением по периметру, арочным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системой видеонаблюдения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2.2.3.3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крытого катка с искусственным льдом «Победа»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оборудованным контрольно-пропускным пунктом, ограждением по периметру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социальной защиты населения,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2.2.4.1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Дооснащение ОГБУСО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СРЦН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оборудованием системы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ОГБУСО «СРЦН»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2.2.4.2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дом-интернат» системой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видеонаблюдения, установка ограждения по периметру учреждения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дом-интернат»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13220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3 «Обеспечение общественной безопасности и предупреждение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правонаруше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на территории Еврейской автономной области» на 2023 – 2028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3463,3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365,3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13"/>
            <w:tcW w:w="1480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Задача «Обеспечение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1 «Комплексные меры по обеспечению общественной безопасности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предупрежде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нию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правонарушений»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3093,3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295,3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349,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318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Организация выплаты вознаграждения за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доброволь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ную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сдачу населением незаконно хранящегося огнестрельного оружия, боеприпасов,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взрывчатых веществ и взрывных устройств в порядке, установленном постановлением правительства области от 20.05.2014 № 253-пп «О выплате денежного вознаграждения гражданам за добровольную сдачу незаконно хранящихся огнестрельного оружия, боеприпасов, взрыв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чатых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веществ и взрывных устройств»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258,0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20,2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725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Обеспечение народных дружинников удостоверениями и отличительной символикой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624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Проведение конкурса на звание «Лучшая народная дружина» на территории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245,0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305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-108"/>
              <w:rPr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Предоставление субсидий муниципальным образованиям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области на проведение мероприятий по укреплению материально-технического оснащения народных дружин, предоставление льгот народным дружинникам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2277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дминистратив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ных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правонарушениях, предусмотренных </w:t>
            </w:r>
            <w:hyperlink r:id="rId22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000000" w:themeColor="text1"/>
                  <w:highlight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ЕАО от 23.06.2010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781-ОЗ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br/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«Об административных правонарушениях»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области, УМВД России по Е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57010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2262,3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2 «Профилактика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правонаруше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преступлений, асоциальных явлений среди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несовершен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нолетних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и молодежи»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3.2.1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физкультурно-спортивных и оздоровительных мероприятий среди несовершеннолетних по месту жительства «Я выбираю спорт!»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профилактика повторной преступности»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3.3.1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исправитель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ных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учреждений по вопросам содействия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их 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анятости и адаптации на рынке труда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57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4 «Правовое просвещение и правовое информирование населения Еврейской автономной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листовок, буклетов, иной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полиграфичес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продукции, содержащ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области, УМВД России по Е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врейской автономной области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Изготовление и распространение социальных видеороликов по вопросам профилактики правонарушений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области, УМВД России по Е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врейской автономной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области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trHeight w:val="759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4 «Противодействие коррупции» на 2023 – 2028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445,0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145,0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13"/>
            <w:tcW w:w="14804" w:type="dxa"/>
            <w:textDirection w:val="lrTb"/>
            <w:noWrap w:val="false"/>
          </w:tcPr>
          <w:p>
            <w:pPr>
              <w:pStyle w:val="994"/>
              <w:jc w:val="center"/>
              <w:spacing w:line="276" w:lineRule="auto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outlineLvl w:val="5"/>
            </w:pPr>
            <w:r>
              <w:rPr>
                <w:rFonts w:ascii="Times New Roman" w:hAnsi="Times New Roman"/>
                <w:color w:val="000000" w:themeColor="text1"/>
                <w:highlight w:val="none"/>
                <w:lang w:eastAsia="en-US"/>
              </w:rPr>
              <w:t xml:space="preserve">Задача «Предупреждение коррупции </w:t>
            </w:r>
            <w:r>
              <w:rPr>
                <w:rFonts w:ascii="Times New Roman" w:hAnsi="Times New Roman"/>
                <w:color w:val="000000" w:themeColor="text1"/>
                <w:highlight w:val="none"/>
                <w:lang w:eastAsia="en-US"/>
              </w:rPr>
              <w:t xml:space="preserve">при исполнении государственных функций и предоставлении государственных услуг в органах исполнительной власти области, формируемых правительством области, обеспечение защиты прав и законных интересов граждан, общества и государства от проявлений коррупции»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«Повышение информационной открытости деятельности по противодействию коррупции»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00000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445,0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>
          <w:trHeight w:val="1134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>
          <w:trHeight w:val="460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Публикация в средствах массовой информации материалов антикоррупционной направленности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460"/>
        </w:trPr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Областной конкурс средств массовой информации на лучшее освещение вопросов, связанных с противодействием коррупции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13510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55,0».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  <w:outlineLvl w:val="1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- таблицу 4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ресурсном обеспечении государственной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«Профилактика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правонарушений и преступлений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Еврейской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автономной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области»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на 2023 – 2028 годы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 счет средств областного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прогнозная оценка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привлекаемых на реализацию ее целей средств федерального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бюджета, бюджетов муниципальных образований области,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внебюджетных источников</w:t>
      </w:r>
      <w:r>
        <w:rPr>
          <w:color w:val="000000" w:themeColor="text1"/>
          <w:sz w:val="28"/>
          <w:szCs w:val="28"/>
          <w:highlight w:val="none"/>
        </w:rPr>
        <w:t xml:space="preserve">» </w:t>
      </w:r>
      <w:r>
        <w:rPr>
          <w:color w:val="000000" w:themeColor="text1"/>
          <w:sz w:val="28"/>
          <w:szCs w:val="28"/>
          <w:highlight w:val="none"/>
        </w:rPr>
        <w:t xml:space="preserve">изложить </w:t>
      </w:r>
      <w:r>
        <w:rPr>
          <w:color w:val="000000" w:themeColor="text1"/>
          <w:sz w:val="28"/>
          <w:szCs w:val="28"/>
          <w:highlight w:val="none"/>
        </w:rPr>
        <w:t xml:space="preserve">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jc w:val="right"/>
        <w:widowControl w:val="off"/>
        <w:rPr>
          <w:color w:val="000000" w:themeColor="text1"/>
          <w:highlight w:val="none"/>
        </w:rPr>
        <w:outlineLvl w:val="2"/>
      </w:pPr>
      <w:r>
        <w:rPr>
          <w:color w:val="000000" w:themeColor="text1"/>
          <w:sz w:val="28"/>
          <w:highlight w:val="none"/>
        </w:rPr>
        <w:t xml:space="preserve">«Таблица 4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 ресурсном обеспечении государственной программы</w:t>
      </w:r>
      <w:r>
        <w:rPr>
          <w:bCs/>
          <w:color w:val="000000" w:themeColor="text1"/>
          <w:sz w:val="28"/>
          <w:szCs w:val="28"/>
          <w:highlight w:val="none"/>
        </w:rPr>
        <w:t xml:space="preserve"> «Профилактика</w:t>
      </w:r>
      <w:r>
        <w:rPr>
          <w:color w:val="000000" w:themeColor="text1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</w:rPr>
        <w:t xml:space="preserve">правонарушений и преступлений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в </w:t>
      </w:r>
      <w:r>
        <w:rPr>
          <w:bCs/>
          <w:color w:val="000000" w:themeColor="text1"/>
          <w:sz w:val="28"/>
          <w:szCs w:val="28"/>
          <w:highlight w:val="none"/>
        </w:rPr>
        <w:t xml:space="preserve">Еврейской</w:t>
      </w:r>
      <w:r>
        <w:rPr>
          <w:bCs/>
          <w:color w:val="000000" w:themeColor="text1"/>
          <w:sz w:val="28"/>
          <w:szCs w:val="28"/>
          <w:highlight w:val="none"/>
        </w:rPr>
        <w:t xml:space="preserve"> автономной</w:t>
      </w:r>
      <w:r>
        <w:rPr>
          <w:color w:val="000000" w:themeColor="text1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</w:rPr>
        <w:t xml:space="preserve">области» </w:t>
      </w:r>
      <w:r>
        <w:rPr>
          <w:bCs/>
          <w:color w:val="000000" w:themeColor="text1"/>
          <w:sz w:val="28"/>
          <w:szCs w:val="28"/>
          <w:highlight w:val="none"/>
        </w:rPr>
        <w:t xml:space="preserve">на 2023 – 2028 годы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за счет средств областного бюджета и прогнозная оценка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привлекаемых на реализацию ее целей средств федерального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бюджета, бюджетов муниципальных образований области,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внебюджетных источников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16"/>
        <w:gridCol w:w="3623"/>
        <w:gridCol w:w="2440"/>
        <w:gridCol w:w="1214"/>
        <w:gridCol w:w="1039"/>
        <w:gridCol w:w="1040"/>
        <w:gridCol w:w="1039"/>
        <w:gridCol w:w="1213"/>
        <w:gridCol w:w="1050"/>
        <w:gridCol w:w="1029"/>
      </w:tblGrid>
      <w:tr>
        <w:trPr>
          <w:cantSplit/>
        </w:trPr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№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/п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Наименование государственной программы, подпрограммы, основного мероприятия, мероприятия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Источники ресурсного обеспечения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gridSpan w:val="7"/>
            <w:tcW w:w="7625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Оценка расходов (тыс. рублей), годы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rPr>
          <w:cantSplit/>
        </w:trPr>
        <w:tc>
          <w:tcPr>
            <w:tcW w:w="111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440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2023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2024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2025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2026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02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</w:tbl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4A0" w:firstRow="1" w:lastRow="0" w:firstColumn="1" w:lastColumn="0" w:noHBand="0" w:noVBand="1"/>
      </w:tblPr>
      <w:tblGrid>
        <w:gridCol w:w="1116"/>
        <w:gridCol w:w="3623"/>
        <w:gridCol w:w="2440"/>
        <w:gridCol w:w="1214"/>
        <w:gridCol w:w="1039"/>
        <w:gridCol w:w="1040"/>
        <w:gridCol w:w="1039"/>
        <w:gridCol w:w="1213"/>
        <w:gridCol w:w="1040"/>
        <w:gridCol w:w="1039"/>
      </w:tblGrid>
      <w:tr>
        <w:trPr>
          <w:tblHeader/>
        </w:trPr>
        <w:tc>
          <w:tcPr>
            <w:tcW w:w="1116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  <w:trHeight w:val="319"/>
        </w:trPr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3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«Государственная программа «Профилактика правонарушений и преступлений в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84050,94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19809,0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11432,94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6659,0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42532,0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23"/>
        </w:trPr>
        <w:tc>
          <w:tcPr>
            <w:tcW w:w="1116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  <w:outlineLvl w:val="3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66050,94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11432,94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6659,0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42532,0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86"/>
        </w:trPr>
        <w:tc>
          <w:tcPr>
            <w:tcW w:w="1116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  <w:outlineLvl w:val="3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36"/>
        </w:trPr>
        <w:tc>
          <w:tcPr>
            <w:tcW w:w="1116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  <w:outlineLvl w:val="3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highlight w:val="white"/>
              </w:rPr>
              <w:outlineLvl w:val="3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Подпрограмма 1 «Профилактика наркомании на территории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10014,7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1435,7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10014,7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1435,7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357"/>
        </w:trPr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0"/>
            <w:tcW w:w="148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  <w:outlineLvl w:val="2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Задача «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Обеспечение эффективной координации антинаркотической деятельности, организация 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системы монитор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инга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профилактики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немедицинского потребления наркотиков, комплексной реабилитации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наркопотребителей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а также 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1 «Совершенствование антинаркотической деятельности, организация мониторинга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наркоситуации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42"/>
        </w:trPr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квалификации представителей аппарата антинаркотической комиссии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социологического исследования по оценке распространения и употребления наркотиков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психоактивных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веще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ств ср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еди различных групп населения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1.1.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2 «Профилактика и раннее выявление незаконного потребления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8393,1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1259,1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1192,0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1222,0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1585,0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8393,1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1259,1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1192,0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1222,0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1585,0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образовательных организациях области, направленного на раннее выявление незаконного потребления наркотических средств и психотропных веществ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культурно-массовых мероприятий, направленных на пропаганду здорового образа жизни и профилактику незаконного потребления наркотиков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217,1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107,1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217,1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107,1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методических материалов и наглядных пособий по профилактике наркомании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и алкоголизма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Изготовление и трансляция видеороликов социальной рекламы антинаркотического содержания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негативного отношения к потреблению наркотиков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Изготовление печатной продукции, пропагандирующей здоровый образ жизни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мероприятий антинаркотической направленности, а также мероприятий духовно-нравственному и патриотическому воспитанию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1.2.9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иммунохроматографических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экспресс-тестов, используемых при профилактических медицинских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осмотрах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обучающихся в целях раннего выявления незаконного потребления наркотических средств и психотропных веществ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5626,0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832,0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5626,0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832,0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980,0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«Сокращение количества преступлений и правонарушений, связанных с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незаконным оборотом наркотиков»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1.3.1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рганизация уничтожения выявленных очагов произрастания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наркосодержащих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растений на сельскохозяйственных угодьях области механическим и химическим способами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716,6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Подпрограмма 2 «Профилактика терроризма и экстремизма на территории Еврейской автономной области» на 2023 – 2028 годы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70127,94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18008,0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8657,94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4104,0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39342,0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52127,94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8657,94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4104,0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39342,0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0"/>
            <w:tcW w:w="1480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Задача «Профилактика террористических угроз и проявлений экстремизма, укрепление антитеррористической защищенности объектов массового пребывания людей»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1 «Комплексные меры по профилактике терроризма и экстремизма»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3654,0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3654,0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совместно с местной религиозной организацией ортодоксального иудаизма «Биробиджанская еврейская религиозная община «Фрейд» Дня памяти жертв Холокоста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2.1.2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совместно с Средне-Амурским окружным казачьим обществом областного историко-спортивного праздника «Три поля русской славы»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2.1.3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Проведение «круглых столов», конференций, лекций по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2.1.4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цикла тематических мероприятий «Шаги к толерантности» для детей из семей, находящихся в социально опасном положении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2 «Обеспечение антитеррористической защищенности объектов массового пребывания людей»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48473,94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7447,94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48473,94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7447,94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здравоохранения,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Детская больница» системами непрерывного видеонаблюдения потенциально опасных участков и критических элементов объекта (территории)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(г. Биробиджан,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ул. Чапаева, д. 10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ул. Пионерская, д. 36)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«Психиатрическая больница»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дополнительными системами наружного видеонаблюдения, установка ограждения территории учреждения по периметру с воротами, установка шлагбаума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ОГКУЗ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Противо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туберкулезный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«Биробиджанский медицинский колледж» системой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наблюдения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ограждением по периметру территории, установка на входные двери видеодомофона в здании общежития и административно-учебном корпусе,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дополнитель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ного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освещения на зданиях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Инфек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ционная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больница» системой непрерывного видеонаблюдения потенциально опасных участков и критических элементов объекта (территории)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ОГКУЗ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«Дом ребенка специализированный» системой оповещения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«Онкологи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диспансер»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ручным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системой оповещения и управления эвакуацией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Николаев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установка ограждения по периметру, автоматического шлагбаума, дополнительное освещение здания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«Смидович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внешним ограждением по периметру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Валдгеймская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дополнительной системой видеонаблюдения, обустройство контрольно-пропускного пункта, установка шлагбаума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Ленинская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2.2.1.12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Теплоозерская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ЦРБ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2.2.1.13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«Б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СМЭ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образования,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Центр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«МОСТ»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ОГАОУ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«Центр образования «Ступени»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ско-хозяйственный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и периметра территории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ОГАУДО ДЮЦ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Солнечный»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ОГОБУ СКШИ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с. Ленинское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90"/>
        </w:trPr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Политех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-нический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«Технический колледж» ограждением по периметру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здания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«Технический колледж» системой оповещения и управления эвакуацией либо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Техно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логический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дополнительным освещением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ОГПОБУ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Техноло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гический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техникум»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ОГАОУ  ДПО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РО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2.2.2.12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ОГОБУ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Ш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кола-интернат» п.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Бира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физической культуры и спорта,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2.2.3.1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нащение стадиона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Дальсельмаш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ОГБУ ДО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СШ ЕАО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арочным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2.2.3.2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спортзала «Юность»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ограждением по периметру, арочным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системой видеонаблюдения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2.2.3.3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крытого катка с искусственным льдом «Победа»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ОГБУ ДО «СШ ЕАО»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оборудованным контрольно-пропускным пунктом, ограждением по периметру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Обеспечение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антитеррористи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ческой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защиты областных государственных учреждений социальной защиты населения,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2.2.4.1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Дооснащение ОГБУСО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СРЦН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 оборудованием системы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видеонаблюдения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2.2.4.2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Оснащение ОГБУ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дом-интернат» системой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видеонаблюдения, установка ограждения по периметру учреждения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2.3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«Оказание государственной поддержки производителям технологичных товаров и закупка товаров для нужд специальной военной операции»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2.3.1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Приобретение турникетов для остановки крови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18000,0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3 «Обеспечение общественной безопасности и предупреждение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правонаруше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на территории Еврейской автономной области» на 2023 – 2028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3463,3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365,3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3463,3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365,3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0"/>
            <w:tcW w:w="1480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Задача «Обеспечение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Еврейской автономной области»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1 «Комплексные меры по обеспечению общественной безопасности 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предупрежде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нию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правонарушений»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3093,3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295,3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3093,3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295,3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349,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Организация выплаты вознаграждения за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доброволь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ную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сдачу населением незаконно хранящегося огнестрельного оружия, боеприпасов,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взрывчатых веществ и взрывных устройств в порядке, установленном постановлением правительства области от 20.05.2014 № 253-пп «О выплате денежного вознаграждения гражданам за добровольную сдачу незаконно хранящихся огнестрельного оружия, боеприпасов, взрыв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чатых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веществ и взрывных устройств»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258,0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20,2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258,0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20,2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Обеспечение народных дружинников удостоверениями и отличительной символикой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Проведение конкурса на звание «Лучшая народная дружина» на территории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Предоставление субсидий муниципальным образованиям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области на проведение мероприятий по укреплению материально-технического оснащения народных дружин, предоставление льгот народным дружинникам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3.1.5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дминистратив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правонарушениях, предусмотренных </w:t>
            </w:r>
            <w:hyperlink r:id="rId23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highlight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ЕАО от 23.06.2010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781-ОЗ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«Об административных правонарушениях»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2262,3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2262,3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2 «Профилактика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правонаруше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 преступлений, асоциальных явлений среди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несовершен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нолетних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и молодежи»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3.2.1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физкультурно-спортивных и оздоровительных мероприятий среди несовершеннолетних по месту жительства «Я выбираю спорт!»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профилактика повторной преступности»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3.3.1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исправитель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ных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учреждений по вопросам содействия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их з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анятости и адаптации на рынке труда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4 «Правовое просвещение и правовое информирование населения Еврейской автономной области»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листовок, буклетов, иной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полиграфичес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продукции, содержащ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их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3.4.2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Изготовление и распространение социальных видеороликов по вопросам профилактики правонарушений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4 «Противодействие коррупции» на 2023 – 2028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0"/>
            <w:tcW w:w="14804" w:type="dxa"/>
            <w:vMerge w:val="restart"/>
            <w:textDirection w:val="lrTb"/>
            <w:noWrap w:val="false"/>
          </w:tcPr>
          <w:p>
            <w:pPr>
              <w:pStyle w:val="994"/>
              <w:jc w:val="center"/>
              <w:spacing w:line="276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Задача «Предупреждение коррупции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при исполнении государственных функций и предоставлении государственных услуг в органах исполнительной власти области, формируемых правительством области, обеспечение защиты прав и законных интересов граждан, общества и государства от проявлений коррупции»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Основное мероприятие 3 «Повышение информационной открытости деятельности по противодействию коррупции»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Публикация в средствах массовой информации материалов антикоррупционной направленности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4.1.3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конкурс средств массовой информации на лучшее освещение вопросов, связанных с противодействием коррупции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3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94"/>
              <w:ind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center" w:pos="467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1.3.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разделе 12 «Подпрограмма 1 «Профилактика наркомании на территории Еврейской автономной области» на 2023 – 2028 годы»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9"/>
        <w:jc w:val="both"/>
        <w:tabs>
          <w:tab w:val="center" w:pos="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- строку «Объемы бюджетных ассигнований подпрограммы»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подраздела 1 «Паспорт подпрограммы 1 «Профилактика наркомании на территории Еврейской автономной области» на 2023 – 2028 годы»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0"/>
        <w:gridCol w:w="6946"/>
      </w:tblGrid>
      <w:tr>
        <w:trPr>
          <w:trHeight w:val="289"/>
        </w:trPr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65"/>
              <w:ind w:right="-62"/>
              <w:widowControl w:val="off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«Объемы бюджетных ассигнований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946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</w:t>
            </w:r>
            <w:r>
              <w:rPr>
                <w:color w:val="000000" w:themeColor="text1"/>
                <w:highlight w:val="none"/>
              </w:rPr>
              <w:t xml:space="preserve">10014,7</w:t>
            </w:r>
            <w:r>
              <w:rPr>
                <w:bCs/>
                <w:color w:val="000000" w:themeColor="text1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2023 год – </w:t>
            </w:r>
            <w:r>
              <w:rPr>
                <w:bCs/>
                <w:color w:val="000000" w:themeColor="text1"/>
                <w:highlight w:val="none"/>
              </w:rPr>
              <w:t xml:space="preserve">1435,7</w:t>
            </w:r>
            <w:r>
              <w:rPr>
                <w:bCs/>
                <w:color w:val="000000" w:themeColor="text1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2024 год – 1452,0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2025 год – 1452,0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2026 год – 1830,0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2027 год – 1605,0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2028 год – 2240,0 тыс. рублей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965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подраздел 10 «Ресурсное обеспечение реализации подпрограммы»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«10. Ресурсное обеспечение реализации подпрограммы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Общий объем финансирования подпрограммы составляет </w:t>
      </w:r>
      <w:r>
        <w:rPr>
          <w:color w:val="000000" w:themeColor="text1"/>
          <w:sz w:val="28"/>
          <w:szCs w:val="28"/>
          <w:highlight w:val="none"/>
        </w:rPr>
        <w:t xml:space="preserve">10014,7</w:t>
      </w:r>
      <w:r>
        <w:rPr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рублей, в том числе средства областного бюджета – </w:t>
      </w:r>
      <w:r>
        <w:rPr>
          <w:color w:val="000000" w:themeColor="text1"/>
          <w:sz w:val="28"/>
          <w:szCs w:val="28"/>
          <w:highlight w:val="none"/>
        </w:rPr>
        <w:t xml:space="preserve">1435,7</w:t>
      </w:r>
      <w:r>
        <w:rPr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рубл</w:t>
      </w:r>
      <w:r>
        <w:rPr>
          <w:color w:val="000000" w:themeColor="text1"/>
          <w:sz w:val="28"/>
          <w:szCs w:val="28"/>
          <w:highlight w:val="none"/>
        </w:rPr>
        <w:t xml:space="preserve">ей.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hyperlink r:id="rId24" w:tooltip="consultantplus://offline/ref=5A572966BD0AEF5C2A63ED3F33E77310CCC8B06FCB27CED6B7FBDBEAE55079A3604BC3CA38E609ECB26136B4608FFD5BFAC054870E596DB2784D5Aj12FB" w:history="1">
        <w:r>
          <w:rPr>
            <w:color w:val="000000" w:themeColor="text1"/>
            <w:sz w:val="28"/>
            <w:szCs w:val="28"/>
            <w:highlight w:val="none"/>
          </w:rPr>
          <w:t xml:space="preserve">таблице 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государственной программы.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Таблица 1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Структура</w:t>
      </w: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финансирования подпрограммы по направлениям расходов</w:t>
      </w: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1143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10014,7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1435,7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НИОКР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10014,7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1435,7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1830,0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-».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65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1.4. </w:t>
      </w:r>
      <w:r>
        <w:rPr>
          <w:color w:val="000000" w:themeColor="text1"/>
          <w:sz w:val="28"/>
          <w:szCs w:val="28"/>
          <w:highlight w:val="none"/>
        </w:rPr>
        <w:t xml:space="preserve">В разделе 14 «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на 2023 – 202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8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годы»: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- строку «Объемы бюджетных ассигнований подпрограммы»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подраздел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1 «Паспорт подпрограммы 3 «Обеспечение общественной безопасности и предупреждение правонарушений на территории Еврейск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ой автономной области» на 2023 –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202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8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годы»</w:t>
      </w:r>
      <w:r>
        <w:rPr>
          <w:color w:val="000000" w:themeColor="text1"/>
          <w:sz w:val="28"/>
          <w:szCs w:val="28"/>
          <w:highlight w:val="none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0"/>
        <w:gridCol w:w="6946"/>
      </w:tblGrid>
      <w:tr>
        <w:trPr>
          <w:trHeight w:val="289"/>
        </w:trPr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65"/>
              <w:ind w:right="-62"/>
              <w:widowControl w:val="off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«Объемы бюджетных ассигнований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946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Общий объем финансирования – </w:t>
            </w:r>
            <w:r>
              <w:rPr>
                <w:bCs/>
                <w:color w:val="000000" w:themeColor="text1"/>
                <w:highlight w:val="none"/>
              </w:rPr>
              <w:t xml:space="preserve">3463,3</w:t>
            </w:r>
            <w:r>
              <w:rPr>
                <w:bCs/>
                <w:color w:val="000000" w:themeColor="text1"/>
                <w:highlight w:val="none"/>
              </w:rPr>
              <w:t xml:space="preserve"> </w:t>
            </w:r>
            <w:r>
              <w:rPr>
                <w:bCs/>
                <w:color w:val="000000" w:themeColor="text1"/>
                <w:highlight w:val="none"/>
              </w:rPr>
              <w:t xml:space="preserve">тыс. рублей, в том числе </w:t>
            </w:r>
            <w:r>
              <w:rPr>
                <w:bCs/>
                <w:color w:val="000000" w:themeColor="text1"/>
                <w:highlight w:val="none"/>
              </w:rPr>
              <w:t xml:space="preserve">средства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2023 год – </w:t>
            </w:r>
            <w:r>
              <w:rPr>
                <w:bCs/>
                <w:color w:val="000000" w:themeColor="text1"/>
                <w:highlight w:val="none"/>
              </w:rPr>
              <w:t xml:space="preserve">365,3</w:t>
            </w:r>
            <w:r>
              <w:rPr>
                <w:bCs/>
                <w:color w:val="000000" w:themeColor="text1"/>
                <w:highlight w:val="none"/>
              </w:rPr>
              <w:t xml:space="preserve"> </w:t>
            </w:r>
            <w:r>
              <w:rPr>
                <w:bCs/>
                <w:color w:val="000000" w:themeColor="text1"/>
                <w:highlight w:val="none"/>
              </w:rPr>
              <w:t xml:space="preserve">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2024 год – 349,0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2025 год – 349,0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2026 год – 800,0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2027 год – 800,0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2028 год – 800,0 тыс. рублей</w:t>
            </w:r>
            <w:r>
              <w:rPr>
                <w:color w:val="000000" w:themeColor="text1"/>
                <w:highlight w:val="none"/>
              </w:rPr>
              <w:t xml:space="preserve">»;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965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подраздел 10 «Ресурсное обеспечение реализации подпрограммы»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«10. Ресурсное обеспечение реализации подпрограммы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5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Общий объем финансирования подпрограммы составляет </w:t>
      </w:r>
      <w:r>
        <w:rPr>
          <w:color w:val="000000" w:themeColor="text1"/>
          <w:sz w:val="28"/>
          <w:szCs w:val="28"/>
          <w:highlight w:val="none"/>
        </w:rPr>
        <w:t xml:space="preserve">3463,3</w:t>
      </w:r>
      <w:r>
        <w:rPr>
          <w:color w:val="000000" w:themeColor="text1"/>
          <w:sz w:val="28"/>
          <w:szCs w:val="28"/>
          <w:highlight w:val="none"/>
        </w:rPr>
        <w:t xml:space="preserve"> тыс. рублей, в том числе средства областного бюджета – </w:t>
      </w:r>
      <w:r>
        <w:rPr>
          <w:color w:val="000000" w:themeColor="text1"/>
          <w:sz w:val="28"/>
          <w:szCs w:val="28"/>
          <w:highlight w:val="none"/>
        </w:rPr>
        <w:t xml:space="preserve">3463,3</w:t>
      </w:r>
      <w:r>
        <w:rPr>
          <w:color w:val="000000" w:themeColor="text1"/>
          <w:sz w:val="28"/>
          <w:szCs w:val="28"/>
          <w:highlight w:val="none"/>
        </w:rPr>
        <w:t xml:space="preserve"> тыс. рублей.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hyperlink r:id="rId25" w:tooltip="consultantplus://offline/ref=5A572966BD0AEF5C2A63ED3F33E77310CCC8B06FCB27CED6B7FBDBEAE55079A3604BC3CA38E609ECB2603ABB608FFD5BFAC054870E596DB2784D5Aj12FB" w:history="1">
        <w:r>
          <w:rPr>
            <w:color w:val="000000" w:themeColor="text1"/>
            <w:sz w:val="28"/>
            <w:szCs w:val="28"/>
            <w:highlight w:val="none"/>
          </w:rPr>
          <w:t xml:space="preserve">таблице 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государственной программы.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Таблица 1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Структура</w:t>
      </w: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финансирования подпрограммы по направлениям расходов</w:t>
      </w: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Cs/>
          <w:color w:val="000000" w:themeColor="text1"/>
          <w:highlight w:val="none"/>
        </w:rPr>
      </w:pPr>
      <w:r>
        <w:rPr>
          <w:bCs/>
          <w:color w:val="000000" w:themeColor="text1"/>
          <w:highlight w:val="none"/>
        </w:rPr>
      </w:r>
      <w:r>
        <w:rPr>
          <w:bCs/>
          <w:color w:val="000000" w:themeColor="text1"/>
          <w:highlight w:val="none"/>
        </w:rPr>
      </w:r>
      <w:r>
        <w:rPr>
          <w:bCs/>
          <w:color w:val="000000" w:themeColor="text1"/>
          <w:highlight w:val="none"/>
        </w:rPr>
      </w:r>
    </w:p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1143"/>
        <w:gridCol w:w="992"/>
        <w:gridCol w:w="851"/>
        <w:gridCol w:w="850"/>
        <w:gridCol w:w="993"/>
        <w:gridCol w:w="992"/>
        <w:gridCol w:w="99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tbl>
      <w:tblPr>
        <w:tblW w:w="927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3"/>
        <w:gridCol w:w="9"/>
        <w:gridCol w:w="1134"/>
        <w:gridCol w:w="992"/>
        <w:gridCol w:w="851"/>
        <w:gridCol w:w="850"/>
        <w:gridCol w:w="993"/>
        <w:gridCol w:w="992"/>
        <w:gridCol w:w="99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3463,3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365,3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НИОКР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3463,3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365,3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Другие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pStyle w:val="965"/>
        <w:ind w:firstLine="708"/>
        <w:jc w:val="both"/>
        <w:widowControl w:val="off"/>
        <w:rPr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2. Настоящее постановление вступает в си</w:t>
      </w:r>
      <w:r>
        <w:rPr>
          <w:sz w:val="28"/>
          <w:szCs w:val="28"/>
        </w:rPr>
        <w:t xml:space="preserve">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бласти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</w:pPr>
    <w:fldSimple w:instr="PAGE \* MERGEFORMAT">
      <w:r>
        <w:t xml:space="preserve">1</w:t>
      </w:r>
    </w:fldSimple>
    <w:r/>
    <w:r/>
  </w:p>
  <w:p>
    <w:pPr>
      <w:pStyle w:val="8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</w:pPr>
    <w:fldSimple w:instr="PAGE \* MERGEFORMAT">
      <w:r>
        <w:t xml:space="preserve">1</w:t>
      </w:r>
    </w:fldSimple>
    <w:r/>
    <w:r/>
  </w:p>
  <w:p>
    <w:pPr>
      <w:pStyle w:val="81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Heading 1"/>
    <w:basedOn w:val="965"/>
    <w:next w:val="965"/>
    <w:link w:val="7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8">
    <w:name w:val="Heading 1 Char"/>
    <w:link w:val="787"/>
    <w:uiPriority w:val="9"/>
    <w:rPr>
      <w:rFonts w:ascii="Arial" w:hAnsi="Arial" w:eastAsia="Arial" w:cs="Arial"/>
      <w:sz w:val="40"/>
      <w:szCs w:val="40"/>
    </w:rPr>
  </w:style>
  <w:style w:type="paragraph" w:styleId="789">
    <w:name w:val="Heading 2"/>
    <w:basedOn w:val="965"/>
    <w:next w:val="965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0">
    <w:name w:val="Heading 2 Char"/>
    <w:link w:val="789"/>
    <w:uiPriority w:val="9"/>
    <w:rPr>
      <w:rFonts w:ascii="Arial" w:hAnsi="Arial" w:eastAsia="Arial" w:cs="Arial"/>
      <w:sz w:val="34"/>
    </w:rPr>
  </w:style>
  <w:style w:type="paragraph" w:styleId="791">
    <w:name w:val="Heading 3"/>
    <w:basedOn w:val="965"/>
    <w:next w:val="965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link w:val="791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5"/>
    <w:next w:val="965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link w:val="793"/>
    <w:uiPriority w:val="9"/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5"/>
    <w:next w:val="965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link w:val="795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5"/>
    <w:next w:val="965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5"/>
    <w:next w:val="965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5"/>
    <w:next w:val="965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5"/>
    <w:next w:val="965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5"/>
    <w:uiPriority w:val="34"/>
    <w:qFormat/>
    <w:pPr>
      <w:contextualSpacing/>
      <w:ind w:left="720"/>
    </w:pPr>
  </w:style>
  <w:style w:type="paragraph" w:styleId="806">
    <w:name w:val="No Spacing"/>
    <w:uiPriority w:val="1"/>
    <w:qFormat/>
    <w:pPr>
      <w:spacing w:before="0" w:after="0" w:line="240" w:lineRule="auto"/>
    </w:pPr>
  </w:style>
  <w:style w:type="paragraph" w:styleId="807">
    <w:name w:val="Title"/>
    <w:basedOn w:val="965"/>
    <w:next w:val="965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>
    <w:name w:val="Title Char"/>
    <w:link w:val="807"/>
    <w:uiPriority w:val="10"/>
    <w:rPr>
      <w:sz w:val="48"/>
      <w:szCs w:val="48"/>
    </w:rPr>
  </w:style>
  <w:style w:type="paragraph" w:styleId="809">
    <w:name w:val="Subtitle"/>
    <w:basedOn w:val="965"/>
    <w:next w:val="965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>
    <w:name w:val="Subtitle Char"/>
    <w:link w:val="809"/>
    <w:uiPriority w:val="11"/>
    <w:rPr>
      <w:sz w:val="24"/>
      <w:szCs w:val="24"/>
    </w:rPr>
  </w:style>
  <w:style w:type="paragraph" w:styleId="811">
    <w:name w:val="Quote"/>
    <w:basedOn w:val="965"/>
    <w:next w:val="965"/>
    <w:link w:val="812"/>
    <w:uiPriority w:val="29"/>
    <w:qFormat/>
    <w:pPr>
      <w:ind w:left="720" w:right="720"/>
    </w:pPr>
    <w:rPr>
      <w:i/>
    </w:rPr>
  </w:style>
  <w:style w:type="character" w:styleId="812">
    <w:name w:val="Quote Char"/>
    <w:link w:val="811"/>
    <w:uiPriority w:val="29"/>
    <w:rPr>
      <w:i/>
    </w:rPr>
  </w:style>
  <w:style w:type="paragraph" w:styleId="813">
    <w:name w:val="Intense Quote"/>
    <w:basedOn w:val="965"/>
    <w:next w:val="965"/>
    <w:link w:val="8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>
    <w:name w:val="Intense Quote Char"/>
    <w:link w:val="813"/>
    <w:uiPriority w:val="30"/>
    <w:rPr>
      <w:i/>
    </w:rPr>
  </w:style>
  <w:style w:type="paragraph" w:styleId="815">
    <w:name w:val="Header"/>
    <w:basedOn w:val="965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Header Char"/>
    <w:link w:val="815"/>
    <w:uiPriority w:val="99"/>
  </w:style>
  <w:style w:type="paragraph" w:styleId="817">
    <w:name w:val="Footer"/>
    <w:basedOn w:val="965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>
    <w:name w:val="Footer Char"/>
    <w:link w:val="817"/>
    <w:uiPriority w:val="99"/>
  </w:style>
  <w:style w:type="paragraph" w:styleId="819">
    <w:name w:val="Caption"/>
    <w:basedOn w:val="965"/>
    <w:next w:val="9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0">
    <w:name w:val="Caption Char"/>
    <w:basedOn w:val="819"/>
    <w:link w:val="817"/>
    <w:uiPriority w:val="99"/>
  </w:style>
  <w:style w:type="table" w:styleId="8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7">
    <w:name w:val="Hyperlink"/>
    <w:uiPriority w:val="99"/>
    <w:unhideWhenUsed/>
    <w:rPr>
      <w:color w:val="0000ff" w:themeColor="hyperlink"/>
      <w:u w:val="single"/>
    </w:rPr>
  </w:style>
  <w:style w:type="paragraph" w:styleId="948">
    <w:name w:val="footnote text"/>
    <w:basedOn w:val="965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>
    <w:name w:val="Footnote Text Char"/>
    <w:link w:val="948"/>
    <w:uiPriority w:val="99"/>
    <w:rPr>
      <w:sz w:val="18"/>
    </w:rPr>
  </w:style>
  <w:style w:type="character" w:styleId="950">
    <w:name w:val="footnote reference"/>
    <w:uiPriority w:val="99"/>
    <w:unhideWhenUsed/>
    <w:rPr>
      <w:vertAlign w:val="superscript"/>
    </w:rPr>
  </w:style>
  <w:style w:type="paragraph" w:styleId="951">
    <w:name w:val="endnote text"/>
    <w:basedOn w:val="965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uiPriority w:val="99"/>
    <w:semiHidden/>
    <w:unhideWhenUsed/>
    <w:rPr>
      <w:vertAlign w:val="superscript"/>
    </w:rPr>
  </w:style>
  <w:style w:type="paragraph" w:styleId="954">
    <w:name w:val="toc 1"/>
    <w:basedOn w:val="965"/>
    <w:next w:val="965"/>
    <w:uiPriority w:val="39"/>
    <w:unhideWhenUsed/>
    <w:pPr>
      <w:ind w:left="0" w:right="0" w:firstLine="0"/>
      <w:spacing w:after="57"/>
    </w:pPr>
  </w:style>
  <w:style w:type="paragraph" w:styleId="955">
    <w:name w:val="toc 2"/>
    <w:basedOn w:val="965"/>
    <w:next w:val="965"/>
    <w:uiPriority w:val="39"/>
    <w:unhideWhenUsed/>
    <w:pPr>
      <w:ind w:left="283" w:right="0" w:firstLine="0"/>
      <w:spacing w:after="57"/>
    </w:pPr>
  </w:style>
  <w:style w:type="paragraph" w:styleId="956">
    <w:name w:val="toc 3"/>
    <w:basedOn w:val="965"/>
    <w:next w:val="965"/>
    <w:uiPriority w:val="39"/>
    <w:unhideWhenUsed/>
    <w:pPr>
      <w:ind w:left="567" w:right="0" w:firstLine="0"/>
      <w:spacing w:after="57"/>
    </w:pPr>
  </w:style>
  <w:style w:type="paragraph" w:styleId="957">
    <w:name w:val="toc 4"/>
    <w:basedOn w:val="965"/>
    <w:next w:val="965"/>
    <w:uiPriority w:val="39"/>
    <w:unhideWhenUsed/>
    <w:pPr>
      <w:ind w:left="850" w:right="0" w:firstLine="0"/>
      <w:spacing w:after="57"/>
    </w:pPr>
  </w:style>
  <w:style w:type="paragraph" w:styleId="958">
    <w:name w:val="toc 5"/>
    <w:basedOn w:val="965"/>
    <w:next w:val="965"/>
    <w:uiPriority w:val="39"/>
    <w:unhideWhenUsed/>
    <w:pPr>
      <w:ind w:left="1134" w:right="0" w:firstLine="0"/>
      <w:spacing w:after="57"/>
    </w:pPr>
  </w:style>
  <w:style w:type="paragraph" w:styleId="959">
    <w:name w:val="toc 6"/>
    <w:basedOn w:val="965"/>
    <w:next w:val="965"/>
    <w:uiPriority w:val="39"/>
    <w:unhideWhenUsed/>
    <w:pPr>
      <w:ind w:left="1417" w:right="0" w:firstLine="0"/>
      <w:spacing w:after="57"/>
    </w:pPr>
  </w:style>
  <w:style w:type="paragraph" w:styleId="960">
    <w:name w:val="toc 7"/>
    <w:basedOn w:val="965"/>
    <w:next w:val="965"/>
    <w:uiPriority w:val="39"/>
    <w:unhideWhenUsed/>
    <w:pPr>
      <w:ind w:left="1701" w:right="0" w:firstLine="0"/>
      <w:spacing w:after="57"/>
    </w:pPr>
  </w:style>
  <w:style w:type="paragraph" w:styleId="961">
    <w:name w:val="toc 8"/>
    <w:basedOn w:val="965"/>
    <w:next w:val="965"/>
    <w:uiPriority w:val="39"/>
    <w:unhideWhenUsed/>
    <w:pPr>
      <w:ind w:left="1984" w:right="0" w:firstLine="0"/>
      <w:spacing w:after="57"/>
    </w:pPr>
  </w:style>
  <w:style w:type="paragraph" w:styleId="962">
    <w:name w:val="toc 9"/>
    <w:basedOn w:val="965"/>
    <w:next w:val="965"/>
    <w:uiPriority w:val="39"/>
    <w:unhideWhenUsed/>
    <w:pPr>
      <w:ind w:left="2268" w:right="0" w:firstLine="0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965"/>
    <w:next w:val="965"/>
    <w:uiPriority w:val="99"/>
    <w:unhideWhenUsed/>
    <w:pPr>
      <w:spacing w:after="0" w:afterAutospacing="0"/>
    </w:pPr>
  </w:style>
  <w:style w:type="paragraph" w:styleId="965" w:default="1">
    <w:name w:val="Normal"/>
    <w:next w:val="965"/>
    <w:link w:val="965"/>
    <w:qFormat/>
    <w:rPr>
      <w:sz w:val="24"/>
      <w:szCs w:val="24"/>
      <w:lang w:val="ru-RU" w:eastAsia="ru-RU" w:bidi="ar-SA"/>
    </w:rPr>
  </w:style>
  <w:style w:type="paragraph" w:styleId="966">
    <w:name w:val="Заголовок 1"/>
    <w:basedOn w:val="965"/>
    <w:next w:val="965"/>
    <w:link w:val="973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967">
    <w:name w:val="Заголовок 2"/>
    <w:basedOn w:val="965"/>
    <w:next w:val="967"/>
    <w:link w:val="974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968">
    <w:name w:val="Заголовок 3"/>
    <w:basedOn w:val="965"/>
    <w:next w:val="965"/>
    <w:link w:val="975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969">
    <w:name w:val="Заголовок 5"/>
    <w:basedOn w:val="965"/>
    <w:next w:val="965"/>
    <w:link w:val="976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character" w:styleId="970">
    <w:name w:val="Основной шрифт абзаца"/>
    <w:next w:val="970"/>
    <w:link w:val="965"/>
    <w:uiPriority w:val="1"/>
    <w:semiHidden/>
  </w:style>
  <w:style w:type="table" w:styleId="971">
    <w:name w:val="Обычная таблица"/>
    <w:next w:val="971"/>
    <w:link w:val="965"/>
    <w:uiPriority w:val="99"/>
    <w:semiHidden/>
    <w:unhideWhenUsed/>
    <w:tblPr/>
  </w:style>
  <w:style w:type="numbering" w:styleId="972">
    <w:name w:val="Нет списка"/>
    <w:next w:val="972"/>
    <w:link w:val="965"/>
    <w:uiPriority w:val="99"/>
    <w:semiHidden/>
    <w:unhideWhenUsed/>
  </w:style>
  <w:style w:type="character" w:styleId="973">
    <w:name w:val="Заголовок 1 Знак"/>
    <w:next w:val="973"/>
    <w:link w:val="966"/>
    <w:uiPriority w:val="9"/>
    <w:rPr>
      <w:rFonts w:ascii="Cambria" w:hAnsi="Cambria" w:cs="Times New Roman"/>
      <w:b/>
      <w:sz w:val="32"/>
    </w:rPr>
  </w:style>
  <w:style w:type="character" w:styleId="974">
    <w:name w:val="Заголовок 2 Знак"/>
    <w:next w:val="974"/>
    <w:link w:val="967"/>
    <w:uiPriority w:val="9"/>
    <w:rPr>
      <w:b/>
      <w:bCs/>
      <w:sz w:val="36"/>
      <w:szCs w:val="36"/>
    </w:rPr>
  </w:style>
  <w:style w:type="character" w:styleId="975">
    <w:name w:val="Заголовок 3 Знак"/>
    <w:next w:val="975"/>
    <w:link w:val="968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976">
    <w:name w:val="Заголовок 5 Знак"/>
    <w:next w:val="976"/>
    <w:link w:val="969"/>
    <w:uiPriority w:val="99"/>
    <w:rPr>
      <w:rFonts w:cs="Times New Roman"/>
      <w:b/>
      <w:i/>
      <w:sz w:val="26"/>
    </w:rPr>
  </w:style>
  <w:style w:type="paragraph" w:styleId="977">
    <w:name w:val="Основной текст"/>
    <w:basedOn w:val="965"/>
    <w:next w:val="977"/>
    <w:link w:val="978"/>
    <w:uiPriority w:val="99"/>
    <w:pPr>
      <w:jc w:val="both"/>
    </w:pPr>
    <w:rPr>
      <w:sz w:val="28"/>
      <w:szCs w:val="20"/>
    </w:rPr>
  </w:style>
  <w:style w:type="character" w:styleId="978">
    <w:name w:val="Основной текст Знак"/>
    <w:next w:val="978"/>
    <w:link w:val="977"/>
    <w:uiPriority w:val="99"/>
    <w:rPr>
      <w:rFonts w:cs="Times New Roman"/>
      <w:sz w:val="28"/>
      <w:lang w:val="ru-RU" w:eastAsia="ru-RU"/>
    </w:rPr>
  </w:style>
  <w:style w:type="paragraph" w:styleId="979">
    <w:name w:val="Обычный (веб)"/>
    <w:basedOn w:val="965"/>
    <w:next w:val="979"/>
    <w:link w:val="965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table" w:styleId="980">
    <w:name w:val="Сетка таблицы"/>
    <w:basedOn w:val="971"/>
    <w:next w:val="980"/>
    <w:link w:val="965"/>
    <w:uiPriority w:val="39"/>
    <w:tblPr/>
  </w:style>
  <w:style w:type="paragraph" w:styleId="981">
    <w:name w:val="Верхний колонтитул"/>
    <w:basedOn w:val="965"/>
    <w:next w:val="981"/>
    <w:link w:val="982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982">
    <w:name w:val="Верхний колонтитул Знак"/>
    <w:next w:val="982"/>
    <w:link w:val="981"/>
    <w:uiPriority w:val="99"/>
    <w:rPr>
      <w:rFonts w:cs="Times New Roman"/>
      <w:sz w:val="24"/>
    </w:rPr>
  </w:style>
  <w:style w:type="character" w:styleId="983">
    <w:name w:val="Номер страницы"/>
    <w:next w:val="983"/>
    <w:link w:val="965"/>
    <w:uiPriority w:val="99"/>
    <w:rPr>
      <w:rFonts w:cs="Times New Roman"/>
    </w:rPr>
  </w:style>
  <w:style w:type="paragraph" w:styleId="984">
    <w:name w:val="Текст выноски"/>
    <w:basedOn w:val="965"/>
    <w:next w:val="984"/>
    <w:link w:val="985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985">
    <w:name w:val="Текст выноски Знак"/>
    <w:next w:val="985"/>
    <w:link w:val="984"/>
    <w:uiPriority w:val="99"/>
    <w:semiHidden/>
    <w:rPr>
      <w:rFonts w:ascii="Tahoma" w:hAnsi="Tahoma" w:cs="Times New Roman"/>
      <w:sz w:val="16"/>
    </w:rPr>
  </w:style>
  <w:style w:type="paragraph" w:styleId="986">
    <w:name w:val="Основной текст с отступом"/>
    <w:basedOn w:val="965"/>
    <w:next w:val="986"/>
    <w:link w:val="987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987">
    <w:name w:val="Основной текст с отступом Знак"/>
    <w:next w:val="987"/>
    <w:link w:val="986"/>
    <w:uiPriority w:val="99"/>
    <w:rPr>
      <w:rFonts w:cs="Times New Roman"/>
      <w:sz w:val="28"/>
    </w:rPr>
  </w:style>
  <w:style w:type="paragraph" w:styleId="988">
    <w:name w:val="Нижний колонтитул"/>
    <w:basedOn w:val="965"/>
    <w:next w:val="988"/>
    <w:link w:val="989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989">
    <w:name w:val="Нижний колонтитул Знак"/>
    <w:next w:val="989"/>
    <w:link w:val="988"/>
    <w:uiPriority w:val="99"/>
    <w:rPr>
      <w:rFonts w:cs="Times New Roman"/>
      <w:sz w:val="28"/>
    </w:rPr>
  </w:style>
  <w:style w:type="paragraph" w:styleId="990">
    <w:name w:val="Знак2 Знак Знак Знак"/>
    <w:basedOn w:val="965"/>
    <w:next w:val="990"/>
    <w:link w:val="965"/>
    <w:pPr>
      <w:ind w:left="26"/>
      <w:spacing w:after="160" w:line="240" w:lineRule="exact"/>
    </w:pPr>
    <w:rPr>
      <w:lang w:val="en-US" w:eastAsia="en-US"/>
    </w:rPr>
  </w:style>
  <w:style w:type="paragraph" w:styleId="991">
    <w:name w:val="Знак Знак Знак Знак"/>
    <w:basedOn w:val="965"/>
    <w:next w:val="991"/>
    <w:link w:val="965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92">
    <w:name w:val="ConsPlusTitle"/>
    <w:next w:val="992"/>
    <w:link w:val="96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93">
    <w:name w:val="ConsPlusNonformat"/>
    <w:next w:val="993"/>
    <w:link w:val="96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4">
    <w:name w:val="ConsPlusNormal"/>
    <w:next w:val="994"/>
    <w:link w:val="995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995">
    <w:name w:val="ConsPlusNormal Знак"/>
    <w:next w:val="995"/>
    <w:link w:val="994"/>
    <w:rPr>
      <w:rFonts w:ascii="Arial" w:hAnsi="Arial"/>
      <w:lang w:val="ru-RU" w:eastAsia="ru-RU" w:bidi="ar-SA"/>
    </w:rPr>
  </w:style>
  <w:style w:type="paragraph" w:styleId="996">
    <w:name w:val="Заголовок оглавления"/>
    <w:basedOn w:val="966"/>
    <w:next w:val="965"/>
    <w:link w:val="965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en-US"/>
    </w:rPr>
  </w:style>
  <w:style w:type="paragraph" w:styleId="997">
    <w:name w:val="Оглавление 3"/>
    <w:basedOn w:val="965"/>
    <w:next w:val="965"/>
    <w:link w:val="965"/>
    <w:uiPriority w:val="99"/>
    <w:pPr>
      <w:ind w:left="560"/>
    </w:pPr>
    <w:rPr>
      <w:sz w:val="28"/>
      <w:szCs w:val="28"/>
    </w:rPr>
  </w:style>
  <w:style w:type="character" w:styleId="998">
    <w:name w:val="Гиперссылка"/>
    <w:next w:val="998"/>
    <w:link w:val="965"/>
    <w:uiPriority w:val="99"/>
    <w:rPr>
      <w:rFonts w:cs="Times New Roman"/>
      <w:color w:val="0000ff"/>
      <w:u w:val="single"/>
    </w:rPr>
  </w:style>
  <w:style w:type="paragraph" w:styleId="999">
    <w:name w:val="ConsPlusCell"/>
    <w:next w:val="999"/>
    <w:link w:val="965"/>
    <w:pPr>
      <w:widowControl w:val="off"/>
    </w:pPr>
    <w:rPr>
      <w:rFonts w:eastAsia="Batang"/>
      <w:sz w:val="24"/>
      <w:szCs w:val="24"/>
      <w:lang w:val="ru-RU" w:eastAsia="ja-JP" w:bidi="ar-SA"/>
    </w:rPr>
  </w:style>
  <w:style w:type="paragraph" w:styleId="1000">
    <w:name w:val="Основной текст 2"/>
    <w:basedOn w:val="965"/>
    <w:next w:val="1000"/>
    <w:link w:val="1001"/>
    <w:uiPriority w:val="99"/>
    <w:pPr>
      <w:spacing w:after="120" w:line="480" w:lineRule="auto"/>
    </w:pPr>
    <w:rPr>
      <w:szCs w:val="20"/>
      <w:lang w:val="en-US" w:eastAsia="en-US"/>
    </w:rPr>
  </w:style>
  <w:style w:type="character" w:styleId="1001">
    <w:name w:val="Основной текст 2 Знак"/>
    <w:next w:val="1001"/>
    <w:link w:val="1000"/>
    <w:uiPriority w:val="99"/>
    <w:rPr>
      <w:rFonts w:cs="Times New Roman"/>
      <w:sz w:val="24"/>
    </w:rPr>
  </w:style>
  <w:style w:type="paragraph" w:styleId="1002">
    <w:name w:val="Знак Знак Знак1 Знак Знак Знак Знак"/>
    <w:basedOn w:val="965"/>
    <w:next w:val="1002"/>
    <w:link w:val="965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1003">
    <w:name w:val="Знак"/>
    <w:basedOn w:val="965"/>
    <w:next w:val="1003"/>
    <w:link w:val="965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1004">
    <w:name w:val="Гипертекстовая ссылка"/>
    <w:next w:val="1004"/>
    <w:link w:val="965"/>
    <w:uiPriority w:val="99"/>
    <w:rPr>
      <w:color w:val="008000"/>
    </w:rPr>
  </w:style>
  <w:style w:type="paragraph" w:styleId="1005">
    <w:name w:val="Основной текст с отступом 21"/>
    <w:basedOn w:val="965"/>
    <w:next w:val="1005"/>
    <w:link w:val="965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1006">
    <w:name w:val="Основной текст с отступом 2"/>
    <w:basedOn w:val="965"/>
    <w:next w:val="1006"/>
    <w:link w:val="1007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1007">
    <w:name w:val="Основной текст с отступом 2 Знак"/>
    <w:next w:val="1007"/>
    <w:link w:val="1006"/>
    <w:uiPriority w:val="99"/>
    <w:rPr>
      <w:rFonts w:cs="Times New Roman"/>
    </w:rPr>
  </w:style>
  <w:style w:type="paragraph" w:styleId="1008">
    <w:name w:val="Нормальный (таблица)"/>
    <w:basedOn w:val="965"/>
    <w:next w:val="965"/>
    <w:link w:val="965"/>
    <w:uiPriority w:val="99"/>
    <w:pPr>
      <w:jc w:val="both"/>
      <w:widowControl w:val="off"/>
    </w:pPr>
    <w:rPr>
      <w:rFonts w:ascii="Arial" w:hAnsi="Arial" w:cs="Arial"/>
    </w:rPr>
  </w:style>
  <w:style w:type="character" w:styleId="1009">
    <w:name w:val="Основной текст + 11 pt"/>
    <w:next w:val="1009"/>
    <w:link w:val="965"/>
    <w:uiPriority w:val="99"/>
    <w:rPr>
      <w:rFonts w:ascii="Times New Roman" w:hAnsi="Times New Roman"/>
      <w:sz w:val="22"/>
      <w:u w:val="none"/>
    </w:rPr>
  </w:style>
  <w:style w:type="character" w:styleId="1010">
    <w:name w:val="Основной текст + 9,5 pt"/>
    <w:next w:val="1010"/>
    <w:link w:val="965"/>
    <w:uiPriority w:val="99"/>
    <w:rPr>
      <w:rFonts w:ascii="Times New Roman" w:hAnsi="Times New Roman"/>
      <w:sz w:val="19"/>
      <w:u w:val="none"/>
    </w:rPr>
  </w:style>
  <w:style w:type="character" w:styleId="1011">
    <w:name w:val="Основной текст + 9 pt,Полужирный1"/>
    <w:next w:val="1011"/>
    <w:link w:val="965"/>
    <w:uiPriority w:val="99"/>
    <w:rPr>
      <w:rFonts w:ascii="Times New Roman" w:hAnsi="Times New Roman"/>
      <w:b/>
      <w:sz w:val="18"/>
      <w:u w:val="none"/>
    </w:rPr>
  </w:style>
  <w:style w:type="paragraph" w:styleId="1012">
    <w:name w:val="Содержимое таблицы"/>
    <w:basedOn w:val="965"/>
    <w:next w:val="1012"/>
    <w:link w:val="965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1013">
    <w:name w:val="Текст"/>
    <w:basedOn w:val="965"/>
    <w:next w:val="1013"/>
    <w:link w:val="1014"/>
    <w:uiPriority w:val="99"/>
    <w:rPr>
      <w:rFonts w:ascii="Courier New" w:hAnsi="Courier New"/>
      <w:sz w:val="20"/>
      <w:szCs w:val="20"/>
      <w:lang w:val="en-US" w:eastAsia="en-US"/>
    </w:rPr>
  </w:style>
  <w:style w:type="character" w:styleId="1014">
    <w:name w:val="Текст Знак"/>
    <w:next w:val="1014"/>
    <w:link w:val="1013"/>
    <w:uiPriority w:val="99"/>
    <w:rPr>
      <w:rFonts w:ascii="Courier New" w:hAnsi="Courier New" w:cs="Times New Roman"/>
    </w:rPr>
  </w:style>
  <w:style w:type="character" w:styleId="1015">
    <w:name w:val="WW-Absatz-Standardschriftart"/>
    <w:next w:val="1015"/>
    <w:link w:val="965"/>
    <w:uiPriority w:val="99"/>
  </w:style>
  <w:style w:type="paragraph" w:styleId="1016">
    <w:name w:val="Без интервала"/>
    <w:next w:val="1016"/>
    <w:link w:val="965"/>
    <w:uiPriority w:val="99"/>
    <w:qFormat/>
    <w:rPr>
      <w:sz w:val="28"/>
      <w:szCs w:val="28"/>
      <w:lang w:val="ru-RU" w:eastAsia="ru-RU" w:bidi="ar-SA"/>
    </w:rPr>
  </w:style>
  <w:style w:type="paragraph" w:styleId="1017">
    <w:name w:val="Заголовок таблицы"/>
    <w:basedOn w:val="1012"/>
    <w:next w:val="1017"/>
    <w:link w:val="965"/>
    <w:uiPriority w:val="99"/>
    <w:pPr>
      <w:jc w:val="center"/>
    </w:pPr>
    <w:rPr>
      <w:b/>
      <w:bCs/>
    </w:rPr>
  </w:style>
  <w:style w:type="character" w:styleId="1018">
    <w:name w:val="Знак Знак10"/>
    <w:next w:val="1018"/>
    <w:link w:val="965"/>
    <w:uiPriority w:val="99"/>
    <w:rPr>
      <w:rFonts w:ascii="Cambria" w:hAnsi="Cambria"/>
      <w:b/>
      <w:sz w:val="32"/>
      <w:lang w:val="ru-RU" w:eastAsia="ru-RU"/>
    </w:rPr>
  </w:style>
  <w:style w:type="character" w:styleId="1019">
    <w:name w:val="Знак Знак7"/>
    <w:next w:val="1019"/>
    <w:link w:val="965"/>
    <w:uiPriority w:val="99"/>
    <w:rPr>
      <w:sz w:val="28"/>
      <w:lang w:val="ru-RU" w:eastAsia="ru-RU"/>
    </w:rPr>
  </w:style>
  <w:style w:type="character" w:styleId="1020">
    <w:name w:val="Знак Знак6"/>
    <w:next w:val="1020"/>
    <w:link w:val="965"/>
    <w:uiPriority w:val="99"/>
    <w:rPr>
      <w:sz w:val="28"/>
      <w:lang w:val="ru-RU" w:eastAsia="ru-RU"/>
    </w:rPr>
  </w:style>
  <w:style w:type="character" w:styleId="1021">
    <w:name w:val="Знак Знак4"/>
    <w:next w:val="1021"/>
    <w:link w:val="965"/>
    <w:uiPriority w:val="99"/>
    <w:rPr>
      <w:sz w:val="28"/>
      <w:lang w:val="ru-RU" w:eastAsia="ru-RU"/>
    </w:rPr>
  </w:style>
  <w:style w:type="character" w:styleId="1022">
    <w:name w:val="apple-converted-space"/>
    <w:next w:val="1022"/>
    <w:link w:val="965"/>
  </w:style>
  <w:style w:type="paragraph" w:styleId="1023">
    <w:name w:val="Знак Знак Знак Знак Знак Знак Знак Знак Знак Знак Знак"/>
    <w:basedOn w:val="965"/>
    <w:next w:val="1023"/>
    <w:link w:val="9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024">
    <w:name w:val="ConsPlusDocList"/>
    <w:next w:val="1024"/>
    <w:link w:val="96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25">
    <w:name w:val="ConsPlusTitlePage"/>
    <w:next w:val="1025"/>
    <w:link w:val="965"/>
    <w:pPr>
      <w:widowControl w:val="off"/>
    </w:pPr>
    <w:rPr>
      <w:rFonts w:ascii="Tahoma" w:hAnsi="Tahoma" w:cs="Tahoma"/>
      <w:lang w:val="ru-RU" w:eastAsia="ru-RU" w:bidi="ar-SA"/>
    </w:rPr>
  </w:style>
  <w:style w:type="paragraph" w:styleId="1026">
    <w:name w:val="ConsPlusJurTerm"/>
    <w:next w:val="1026"/>
    <w:link w:val="965"/>
    <w:pPr>
      <w:widowControl w:val="off"/>
    </w:pPr>
    <w:rPr>
      <w:rFonts w:ascii="Tahoma" w:hAnsi="Tahoma" w:cs="Tahoma"/>
      <w:lang w:val="ru-RU" w:eastAsia="ru-RU" w:bidi="ar-SA"/>
    </w:rPr>
  </w:style>
  <w:style w:type="paragraph" w:styleId="1027">
    <w:name w:val="formattext"/>
    <w:basedOn w:val="965"/>
    <w:next w:val="1027"/>
    <w:link w:val="965"/>
    <w:pPr>
      <w:spacing w:before="100" w:beforeAutospacing="1" w:after="100" w:afterAutospacing="1"/>
    </w:pPr>
  </w:style>
  <w:style w:type="character" w:styleId="1028">
    <w:name w:val="Просмотренная гиперссылка"/>
    <w:next w:val="1028"/>
    <w:link w:val="965"/>
    <w:uiPriority w:val="99"/>
    <w:unhideWhenUsed/>
    <w:rPr>
      <w:rFonts w:cs="Times New Roman"/>
      <w:color w:val="954f72"/>
      <w:u w:val="single"/>
    </w:rPr>
  </w:style>
  <w:style w:type="table" w:styleId="1029">
    <w:name w:val="Сетка таблицы1"/>
    <w:basedOn w:val="971"/>
    <w:next w:val="980"/>
    <w:link w:val="965"/>
    <w:uiPriority w:val="39"/>
    <w:rPr>
      <w:rFonts w:ascii="Calibri" w:hAnsi="Calibri" w:cs="Calibri"/>
    </w:rPr>
    <w:tblPr/>
  </w:style>
  <w:style w:type="table" w:styleId="1030">
    <w:name w:val="Сетка таблицы2"/>
    <w:basedOn w:val="971"/>
    <w:next w:val="980"/>
    <w:link w:val="965"/>
    <w:uiPriority w:val="39"/>
    <w:rPr>
      <w:rFonts w:ascii="Calibri" w:hAnsi="Calibri" w:cs="Calibri"/>
    </w:rPr>
    <w:tblPr/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consultantplus://offline/ref=F1656ED3992BA12C5EF77E78734BB5FF5B4550AF1D2BA200B39EB21C2613DC73F414A6061741001AB82958D7F7A7D9EF60886310BB9447569A1DB63Bn5F" TargetMode="External"/><Relationship Id="rId19" Type="http://schemas.openxmlformats.org/officeDocument/2006/relationships/hyperlink" Target="consultantplus://offline/ref=F1656ED3992BA12C5EF77E78734BB5FF5B4550AF1D2BA200B39EB21C2613DC73F414A6061741001AB82A5EDBF7A7D9EF60886310BB9447569A1DB63Bn5F" TargetMode="External"/><Relationship Id="rId20" Type="http://schemas.openxmlformats.org/officeDocument/2006/relationships/hyperlink" Target="consultantplus://offline/ref=F1656ED3992BA12C5EF77E78734BB5FF5B4550AF1D2BA200B39EB21C2613DC73F414A6061741001AB82B5CDDF7A7D9EF60886310BB9447569A1DB63Bn5F" TargetMode="External"/><Relationship Id="rId21" Type="http://schemas.openxmlformats.org/officeDocument/2006/relationships/hyperlink" Target="consultantplus://offline/ref=F1656ED3992BA12C5EF77E78734BB5FF5B4550AF1D2BA200B39EB21C2613DC73F414A6061741001AB82B55DDF7A7D9EF60886310BB9447569A1DB63Bn5F" TargetMode="External"/><Relationship Id="rId22" Type="http://schemas.openxmlformats.org/officeDocument/2006/relationships/hyperlink" Target="consultantplus://offline/ref=62FB807D2E74A875F79826168348AC7693420C4C497E20C4F56126AE5BE00669EF0523FE80C9DC996553A9537C8BDC92HDS6B" TargetMode="External"/><Relationship Id="rId23" Type="http://schemas.openxmlformats.org/officeDocument/2006/relationships/hyperlink" Target="consultantplus://offline/ref=62FB807D2E74A875F79826168348AC7693420C4C497E20C4F56126AE5BE00669EF0523FE80C9DC996553A9537C8BDC92HDS6B" TargetMode="External"/><Relationship Id="rId24" Type="http://schemas.openxmlformats.org/officeDocument/2006/relationships/hyperlink" Target="consultantplus://offline/ref=5A572966BD0AEF5C2A63ED3F33E77310CCC8B06FCB27CED6B7FBDBEAE55079A3604BC3CA38E609ECB26136B4608FFD5BFAC054870E596DB2784D5Aj12FB" TargetMode="External"/><Relationship Id="rId25" Type="http://schemas.openxmlformats.org/officeDocument/2006/relationships/hyperlink" Target="consultantplus://offline/ref=5A572966BD0AEF5C2A63ED3F33E77310CCC8B06FCB27CED6B7FBDBEAE55079A3604BC3CA38E609ECB2603ABB608FFD5BFAC054870E596DB2784D5Aj12F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Правительства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37</cp:revision>
  <dcterms:created xsi:type="dcterms:W3CDTF">2022-06-08T08:01:00Z</dcterms:created>
  <dcterms:modified xsi:type="dcterms:W3CDTF">2023-11-10T00:41:21Z</dcterms:modified>
  <cp:version>983040</cp:version>
</cp:coreProperties>
</file>